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740F1" w14:textId="77777777" w:rsidR="000F4D32" w:rsidRDefault="000F4D32" w:rsidP="000F4D32">
      <w:pPr>
        <w:pStyle w:val="Header"/>
        <w:ind w:left="0"/>
      </w:pPr>
    </w:p>
    <w:p w14:paraId="26CC0F60" w14:textId="77777777" w:rsidR="000F4D32" w:rsidRDefault="000F4D32" w:rsidP="000F4D32">
      <w:pPr>
        <w:pStyle w:val="Header"/>
        <w:ind w:left="0"/>
      </w:pPr>
    </w:p>
    <w:p w14:paraId="4C7F39D1" w14:textId="77777777" w:rsidR="000F4D32" w:rsidRDefault="000F4D32" w:rsidP="000F4D32">
      <w:pPr>
        <w:pStyle w:val="Header"/>
        <w:ind w:left="0"/>
      </w:pPr>
    </w:p>
    <w:p w14:paraId="71595E35" w14:textId="77777777" w:rsidR="000F4D32" w:rsidRDefault="000F4D32" w:rsidP="00DE3C16">
      <w:pPr>
        <w:pStyle w:val="Header"/>
      </w:pPr>
    </w:p>
    <w:p w14:paraId="2722CAD1" w14:textId="77777777" w:rsidR="00DE3C16" w:rsidRPr="00DE3C16" w:rsidRDefault="00DE3C16" w:rsidP="00DE3C16">
      <w:pPr>
        <w:jc w:val="center"/>
        <w:rPr>
          <w:b/>
          <w:color w:val="auto"/>
          <w:sz w:val="44"/>
        </w:rPr>
      </w:pPr>
      <w:r w:rsidRPr="00DE3C16">
        <w:rPr>
          <w:b/>
          <w:color w:val="auto"/>
          <w:sz w:val="44"/>
        </w:rPr>
        <w:t>Security Policy / Procedure:</w:t>
      </w:r>
    </w:p>
    <w:p w14:paraId="7CCB74A9" w14:textId="77777777" w:rsidR="00DE3C16" w:rsidRPr="00DE3C16" w:rsidRDefault="00DE3C16" w:rsidP="00DE3C16">
      <w:pPr>
        <w:jc w:val="center"/>
        <w:rPr>
          <w:b/>
          <w:color w:val="auto"/>
          <w:sz w:val="72"/>
        </w:rPr>
      </w:pPr>
      <w:r w:rsidRPr="00DE3C16">
        <w:rPr>
          <w:b/>
          <w:color w:val="auto"/>
          <w:sz w:val="72"/>
        </w:rPr>
        <w:t>Asset Management</w:t>
      </w:r>
    </w:p>
    <w:p w14:paraId="24477533" w14:textId="77777777" w:rsidR="00DE3C16" w:rsidRDefault="00DE3C16" w:rsidP="00DE3C16">
      <w:pPr>
        <w:pStyle w:val="NoSpacing"/>
        <w:jc w:val="center"/>
      </w:pPr>
      <w:r>
        <w:t>This policy / procedure complies with the requirements of the ISO 27001:2013 International Standard</w:t>
      </w:r>
    </w:p>
    <w:p w14:paraId="6467FE77" w14:textId="77777777" w:rsidR="00DE3C16" w:rsidRDefault="00DE3C16" w:rsidP="00DE3C16">
      <w:pPr>
        <w:pStyle w:val="NoSpacing"/>
        <w:jc w:val="center"/>
      </w:pPr>
      <w:r>
        <w:t xml:space="preserve">Annex </w:t>
      </w:r>
      <w:r w:rsidRPr="00FF1F31">
        <w:t>A.8.1.1,</w:t>
      </w:r>
      <w:r>
        <w:t xml:space="preserve"> </w:t>
      </w:r>
      <w:r w:rsidRPr="00FF1F31">
        <w:t>A.8.1.2</w:t>
      </w:r>
      <w:r>
        <w:t>, A.8.1.3, A.8.1.4</w:t>
      </w:r>
    </w:p>
    <w:p w14:paraId="42213FCC" w14:textId="77777777" w:rsidR="00B009D0" w:rsidRDefault="00B009D0"/>
    <w:p w14:paraId="6B5C473D" w14:textId="77777777" w:rsidR="000F4D32" w:rsidRDefault="000F4D32"/>
    <w:p w14:paraId="20933227" w14:textId="77777777" w:rsidR="000F4D32" w:rsidRDefault="000F4D32"/>
    <w:p w14:paraId="40C9580D" w14:textId="77777777" w:rsidR="000F4D32" w:rsidRDefault="000F4D32"/>
    <w:p w14:paraId="4D518010" w14:textId="77777777" w:rsidR="000F4D32" w:rsidRDefault="000F4D32"/>
    <w:p w14:paraId="13BDD8E3" w14:textId="77777777" w:rsidR="000F4D32" w:rsidRDefault="000F4D32"/>
    <w:p w14:paraId="3A8C65B7" w14:textId="77777777" w:rsidR="000F4D32" w:rsidRDefault="000F4D32"/>
    <w:p w14:paraId="6C49DDB3" w14:textId="77777777" w:rsidR="000F4D32" w:rsidRDefault="000F4D32"/>
    <w:p w14:paraId="530C94EC" w14:textId="77777777" w:rsidR="000F4D32" w:rsidRDefault="000F4D32"/>
    <w:p w14:paraId="0DB2EB0D" w14:textId="77777777" w:rsidR="000F4D32" w:rsidRDefault="000F4D32"/>
    <w:p w14:paraId="0342F858" w14:textId="7736147B" w:rsidR="000F4D32" w:rsidRPr="000F4D32" w:rsidRDefault="000F4D32" w:rsidP="000F4D32">
      <w:pPr>
        <w:pStyle w:val="Heading1CBSGreen"/>
        <w:rPr>
          <w:b/>
          <w:bCs/>
          <w:color w:val="auto"/>
        </w:rPr>
      </w:pPr>
      <w:r w:rsidRPr="000F4D32">
        <w:rPr>
          <w:b/>
          <w:bCs/>
          <w:color w:val="auto"/>
        </w:rPr>
        <w:lastRenderedPageBreak/>
        <w:t>1</w:t>
      </w:r>
      <w:r w:rsidRPr="000F4D32">
        <w:rPr>
          <w:b/>
          <w:bCs/>
          <w:color w:val="auto"/>
        </w:rPr>
        <w:t>.</w:t>
      </w:r>
      <w:r w:rsidRPr="000F4D32">
        <w:rPr>
          <w:b/>
          <w:bCs/>
          <w:color w:val="auto"/>
        </w:rPr>
        <w:t xml:space="preserve"> Purpose</w:t>
      </w:r>
    </w:p>
    <w:p w14:paraId="3B3DF633" w14:textId="77777777" w:rsidR="000F4D32" w:rsidRPr="004367FD" w:rsidRDefault="000F4D32" w:rsidP="000F4D32">
      <w:pPr>
        <w:tabs>
          <w:tab w:val="num" w:pos="1620"/>
        </w:tabs>
        <w:ind w:left="0"/>
      </w:pPr>
      <w:r>
        <w:t xml:space="preserve">This Asset Management </w:t>
      </w:r>
      <w:r w:rsidRPr="00EA0E14">
        <w:t xml:space="preserve">Security </w:t>
      </w:r>
      <w:r>
        <w:t>Policy and Procedure</w:t>
      </w:r>
      <w:r w:rsidRPr="00EA0E14">
        <w:t xml:space="preserve"> </w:t>
      </w:r>
      <w:r>
        <w:t>establishes the requirements and activities for identifying and controlling protected information assets and supporting technology and infrastructure assets.</w:t>
      </w:r>
    </w:p>
    <w:p w14:paraId="531ADF24" w14:textId="70BCA565" w:rsidR="000F4D32" w:rsidRPr="000F4D32" w:rsidRDefault="000F4D32" w:rsidP="000F4D32">
      <w:pPr>
        <w:pStyle w:val="Heading1CBSGreen"/>
        <w:rPr>
          <w:b/>
          <w:bCs/>
          <w:color w:val="auto"/>
        </w:rPr>
      </w:pPr>
      <w:r w:rsidRPr="000F4D32">
        <w:rPr>
          <w:b/>
          <w:bCs/>
          <w:color w:val="auto"/>
        </w:rPr>
        <w:t xml:space="preserve"> 2</w:t>
      </w:r>
      <w:r w:rsidRPr="000F4D32">
        <w:rPr>
          <w:b/>
          <w:bCs/>
          <w:color w:val="auto"/>
        </w:rPr>
        <w:t>.</w:t>
      </w:r>
      <w:r w:rsidRPr="000F4D32">
        <w:rPr>
          <w:b/>
          <w:bCs/>
          <w:color w:val="auto"/>
        </w:rPr>
        <w:t xml:space="preserve"> Scope</w:t>
      </w:r>
    </w:p>
    <w:p w14:paraId="48EF460A" w14:textId="77777777" w:rsidR="000F4D32" w:rsidRDefault="000F4D32" w:rsidP="000F4D32">
      <w:pPr>
        <w:tabs>
          <w:tab w:val="num" w:pos="1620"/>
        </w:tabs>
        <w:ind w:left="0"/>
      </w:pPr>
      <w:r>
        <w:t xml:space="preserve">This Asset Management Policy and Procedure applies to all </w:t>
      </w:r>
      <w:r>
        <w:rPr>
          <w:highlight w:val="yellow"/>
        </w:rPr>
        <w:t>[Company Name]</w:t>
      </w:r>
      <w:r>
        <w:t xml:space="preserve"> employees, contractors, and suppliers who access, use, or are assigned ownership or custody of protected information assets or supporting technology or infrastructure assets.</w:t>
      </w:r>
    </w:p>
    <w:p w14:paraId="1E5EBEEF" w14:textId="77777777" w:rsidR="000F4D32" w:rsidRDefault="000F4D32" w:rsidP="000F4D32">
      <w:pPr>
        <w:spacing w:before="120" w:after="120" w:line="240" w:lineRule="auto"/>
      </w:pPr>
    </w:p>
    <w:p w14:paraId="3C6F5858" w14:textId="745DFA46" w:rsidR="000F4D32" w:rsidRDefault="000F4D32" w:rsidP="000F4D32">
      <w:pPr>
        <w:pStyle w:val="Heading1CBSGreen"/>
        <w:rPr>
          <w:b/>
          <w:bCs/>
          <w:color w:val="auto"/>
        </w:rPr>
      </w:pPr>
      <w:r w:rsidRPr="000F4D32">
        <w:rPr>
          <w:b/>
          <w:bCs/>
          <w:color w:val="auto"/>
        </w:rPr>
        <w:t>3</w:t>
      </w:r>
      <w:r w:rsidRPr="000F4D32">
        <w:rPr>
          <w:b/>
          <w:bCs/>
          <w:color w:val="auto"/>
        </w:rPr>
        <w:t>.</w:t>
      </w:r>
      <w:r w:rsidRPr="000F4D32">
        <w:rPr>
          <w:b/>
          <w:bCs/>
          <w:color w:val="auto"/>
        </w:rPr>
        <w:t xml:space="preserve"> Responsibilities</w:t>
      </w:r>
    </w:p>
    <w:p w14:paraId="169CF1DA" w14:textId="77777777" w:rsidR="000F4D32" w:rsidRDefault="000F4D32" w:rsidP="000F4D32">
      <w:pPr>
        <w:tabs>
          <w:tab w:val="num" w:pos="1620"/>
        </w:tabs>
        <w:spacing w:before="120" w:after="120" w:line="240" w:lineRule="auto"/>
        <w:ind w:left="0"/>
      </w:pPr>
      <w:bookmarkStart w:id="0" w:name="_Hlk534008815"/>
      <w:r w:rsidRPr="001C0D58">
        <w:rPr>
          <w:b/>
        </w:rPr>
        <w:t xml:space="preserve">Asset </w:t>
      </w:r>
      <w:r>
        <w:rPr>
          <w:b/>
        </w:rPr>
        <w:t>Man</w:t>
      </w:r>
      <w:r w:rsidRPr="00934E8A">
        <w:rPr>
          <w:b/>
          <w:color w:val="auto"/>
        </w:rPr>
        <w:t>a</w:t>
      </w:r>
      <w:r>
        <w:rPr>
          <w:b/>
        </w:rPr>
        <w:t>ger</w:t>
      </w:r>
      <w:bookmarkEnd w:id="0"/>
      <w:r>
        <w:rPr>
          <w:b/>
        </w:rPr>
        <w:t xml:space="preserve"> (AM) </w:t>
      </w:r>
      <w:r>
        <w:t xml:space="preserve">– </w:t>
      </w:r>
      <w:r>
        <w:rPr>
          <w:highlight w:val="yellow"/>
        </w:rPr>
        <w:t>[Company Name]</w:t>
      </w:r>
      <w:r w:rsidRPr="001C0D58">
        <w:t xml:space="preserve"> having responsibility for managing </w:t>
      </w:r>
      <w:r>
        <w:t>controlled assets.</w:t>
      </w:r>
      <w:r w:rsidRPr="00113412">
        <w:t xml:space="preserve"> </w:t>
      </w:r>
    </w:p>
    <w:p w14:paraId="1DF6EF6B" w14:textId="77777777" w:rsidR="000F4D32" w:rsidRDefault="000F4D32" w:rsidP="000F4D32">
      <w:pPr>
        <w:pStyle w:val="ListParagraph"/>
        <w:numPr>
          <w:ilvl w:val="0"/>
          <w:numId w:val="1"/>
        </w:numPr>
        <w:spacing w:before="120" w:after="120" w:line="240" w:lineRule="auto"/>
      </w:pPr>
      <w:r>
        <w:t xml:space="preserve">The </w:t>
      </w:r>
      <w:r w:rsidRPr="00AE3233">
        <w:rPr>
          <w:b/>
        </w:rPr>
        <w:t>AM</w:t>
      </w:r>
      <w:r>
        <w:t xml:space="preserve"> will maintain a comprehensive Asset Management Process consistent with the overall requirements of this procedure.</w:t>
      </w:r>
    </w:p>
    <w:p w14:paraId="254BB0B1" w14:textId="77777777" w:rsidR="000F4D32" w:rsidRDefault="000F4D32" w:rsidP="000F4D32">
      <w:pPr>
        <w:pStyle w:val="ListParagraph"/>
        <w:numPr>
          <w:ilvl w:val="0"/>
          <w:numId w:val="1"/>
        </w:numPr>
        <w:spacing w:before="120" w:after="120" w:line="240" w:lineRule="auto"/>
      </w:pPr>
      <w:r>
        <w:t xml:space="preserve">Ensure the asset is properly classified and protected. </w:t>
      </w:r>
    </w:p>
    <w:p w14:paraId="63C64174" w14:textId="77777777" w:rsidR="000F4D32" w:rsidRDefault="000F4D32" w:rsidP="000F4D32">
      <w:pPr>
        <w:pStyle w:val="ListParagraph"/>
        <w:numPr>
          <w:ilvl w:val="0"/>
          <w:numId w:val="1"/>
        </w:numPr>
        <w:spacing w:before="120" w:after="120" w:line="240" w:lineRule="auto"/>
      </w:pPr>
      <w:r>
        <w:t xml:space="preserve">Ensure proper handling if the status changes or is dispositioned. </w:t>
      </w:r>
    </w:p>
    <w:p w14:paraId="47C9E019" w14:textId="77777777" w:rsidR="000F4D32" w:rsidRDefault="000F4D32" w:rsidP="000F4D32">
      <w:pPr>
        <w:pStyle w:val="ListParagraph"/>
        <w:numPr>
          <w:ilvl w:val="0"/>
          <w:numId w:val="1"/>
        </w:numPr>
        <w:tabs>
          <w:tab w:val="num" w:pos="1620"/>
        </w:tabs>
        <w:spacing w:before="120" w:after="120" w:line="240" w:lineRule="auto"/>
      </w:pPr>
      <w:r w:rsidRPr="00B026E3">
        <w:rPr>
          <w:b/>
        </w:rPr>
        <w:t>Asset User (AU)</w:t>
      </w:r>
      <w:r>
        <w:t xml:space="preserve"> </w:t>
      </w:r>
      <w:bookmarkStart w:id="1" w:name="_Hlk533163075"/>
      <w:r>
        <w:t xml:space="preserve">– </w:t>
      </w:r>
      <w:bookmarkEnd w:id="1"/>
      <w:r>
        <w:rPr>
          <w:highlight w:val="yellow"/>
        </w:rPr>
        <w:t>[Company Name]</w:t>
      </w:r>
      <w:r>
        <w:t xml:space="preserve"> employee who is accountable</w:t>
      </w:r>
      <w:r w:rsidRPr="000039EC">
        <w:t xml:space="preserve"> for the appropriate use and the protection of assigned assets.</w:t>
      </w:r>
      <w:r>
        <w:t xml:space="preserve"> </w:t>
      </w:r>
    </w:p>
    <w:p w14:paraId="26A6FA92" w14:textId="77777777" w:rsidR="000F4D32" w:rsidRDefault="000F4D32" w:rsidP="000F4D32">
      <w:pPr>
        <w:pStyle w:val="ListParagraph"/>
        <w:numPr>
          <w:ilvl w:val="0"/>
          <w:numId w:val="1"/>
        </w:numPr>
        <w:spacing w:before="120" w:after="120" w:line="240" w:lineRule="auto"/>
      </w:pPr>
      <w:r>
        <w:t xml:space="preserve">The </w:t>
      </w:r>
      <w:r w:rsidRPr="00AE3233">
        <w:rPr>
          <w:b/>
        </w:rPr>
        <w:t>AU</w:t>
      </w:r>
      <w:r>
        <w:t xml:space="preserve"> is responsible </w:t>
      </w:r>
      <w:proofErr w:type="gramStart"/>
      <w:r>
        <w:t>to report</w:t>
      </w:r>
      <w:proofErr w:type="gramEnd"/>
      <w:r>
        <w:t xml:space="preserve"> any damage, </w:t>
      </w:r>
      <w:proofErr w:type="gramStart"/>
      <w:r>
        <w:t>theft</w:t>
      </w:r>
      <w:proofErr w:type="gramEnd"/>
      <w:r>
        <w:t xml:space="preserve"> or loss of an asset in accordance with the</w:t>
      </w:r>
      <w:r w:rsidRPr="001F36EA">
        <w:rPr>
          <w:rStyle w:val="CBSBoldBlueChar"/>
        </w:rPr>
        <w:t xml:space="preserve"> HR Security Policy</w:t>
      </w:r>
      <w:r>
        <w:t xml:space="preserve"> and the </w:t>
      </w:r>
      <w:r w:rsidRPr="001F36EA">
        <w:rPr>
          <w:rStyle w:val="CBSBoldBlueChar"/>
        </w:rPr>
        <w:t>Acceptable Use Policy</w:t>
      </w:r>
      <w:r>
        <w:t xml:space="preserve">. </w:t>
      </w:r>
    </w:p>
    <w:p w14:paraId="6EE7848F" w14:textId="77777777" w:rsidR="000F4D32" w:rsidRPr="008A7469" w:rsidRDefault="000F4D32" w:rsidP="000F4D32">
      <w:pPr>
        <w:pStyle w:val="ListParagraph"/>
        <w:spacing w:before="120" w:after="120" w:line="240" w:lineRule="auto"/>
        <w:ind w:left="1080"/>
      </w:pPr>
      <w:r>
        <w:t xml:space="preserve"> </w:t>
      </w:r>
    </w:p>
    <w:p w14:paraId="42D553C4" w14:textId="06EC03BC" w:rsidR="000F4D32" w:rsidRPr="000F4D32" w:rsidRDefault="000F4D32" w:rsidP="000F4D32">
      <w:pPr>
        <w:pStyle w:val="Heading1CBSGreen"/>
        <w:rPr>
          <w:b/>
          <w:bCs/>
          <w:color w:val="auto"/>
        </w:rPr>
      </w:pPr>
      <w:r w:rsidRPr="000F4D32">
        <w:rPr>
          <w:b/>
          <w:bCs/>
          <w:color w:val="auto"/>
        </w:rPr>
        <w:t>4</w:t>
      </w:r>
      <w:r w:rsidRPr="000F4D32">
        <w:rPr>
          <w:b/>
          <w:bCs/>
          <w:color w:val="auto"/>
        </w:rPr>
        <w:t>.</w:t>
      </w:r>
      <w:r w:rsidRPr="000F4D32">
        <w:rPr>
          <w:b/>
          <w:bCs/>
          <w:color w:val="auto"/>
        </w:rPr>
        <w:t xml:space="preserve"> Policy</w:t>
      </w:r>
    </w:p>
    <w:p w14:paraId="0CFB5CC0" w14:textId="77777777" w:rsidR="000F4D32" w:rsidRDefault="000F4D32" w:rsidP="000F4D32">
      <w:pPr>
        <w:tabs>
          <w:tab w:val="num" w:pos="1620"/>
        </w:tabs>
        <w:ind w:left="0"/>
      </w:pPr>
      <w:r>
        <w:rPr>
          <w:highlight w:val="yellow"/>
        </w:rPr>
        <w:t>[Company Name]</w:t>
      </w:r>
      <w:r>
        <w:t xml:space="preserve"> assures that all assets, including information and the technology and infrastructure assets supporting the processing of related data within the ISMS scope, are identified, and controlled.</w:t>
      </w:r>
    </w:p>
    <w:p w14:paraId="2221DD5C" w14:textId="77777777" w:rsidR="000F4D32" w:rsidRDefault="000F4D32" w:rsidP="000F4D32">
      <w:pPr>
        <w:tabs>
          <w:tab w:val="num" w:pos="1620"/>
        </w:tabs>
        <w:ind w:left="0"/>
      </w:pPr>
      <w:r>
        <w:rPr>
          <w:highlight w:val="yellow"/>
        </w:rPr>
        <w:t>[Company Name]</w:t>
      </w:r>
      <w:r>
        <w:t xml:space="preserve"> achieves this by monitoring and tracking the acquisition, deployment, operation, removal, and disposition of assets, over their service life and/or period of </w:t>
      </w:r>
      <w:r>
        <w:rPr>
          <w:highlight w:val="yellow"/>
        </w:rPr>
        <w:t>[Company Name]</w:t>
      </w:r>
      <w:r w:rsidRPr="003C69D2">
        <w:t xml:space="preserve"> </w:t>
      </w:r>
      <w:r>
        <w:t>custody, to assure information protections and security are maintained.</w:t>
      </w:r>
    </w:p>
    <w:p w14:paraId="45D99E3D" w14:textId="77777777" w:rsidR="000F4D32" w:rsidRDefault="000F4D32" w:rsidP="000F4D32">
      <w:pPr>
        <w:tabs>
          <w:tab w:val="num" w:pos="1620"/>
        </w:tabs>
        <w:ind w:left="0"/>
      </w:pPr>
    </w:p>
    <w:p w14:paraId="19AE60C3" w14:textId="77777777" w:rsidR="000F4D32" w:rsidRDefault="000F4D32" w:rsidP="000F4D32">
      <w:pPr>
        <w:tabs>
          <w:tab w:val="num" w:pos="1620"/>
        </w:tabs>
        <w:ind w:left="0"/>
      </w:pPr>
    </w:p>
    <w:p w14:paraId="27FE9E49" w14:textId="34DD467E" w:rsidR="000F4D32" w:rsidRPr="000F4D32" w:rsidRDefault="000F4D32" w:rsidP="000F4D32">
      <w:pPr>
        <w:pStyle w:val="Heading1CBSGreen"/>
        <w:rPr>
          <w:b/>
          <w:bCs/>
          <w:color w:val="auto"/>
        </w:rPr>
      </w:pPr>
      <w:r w:rsidRPr="000F4D32">
        <w:rPr>
          <w:b/>
          <w:bCs/>
          <w:color w:val="auto"/>
        </w:rPr>
        <w:lastRenderedPageBreak/>
        <w:t>5</w:t>
      </w:r>
      <w:r>
        <w:rPr>
          <w:b/>
          <w:bCs/>
          <w:color w:val="auto"/>
        </w:rPr>
        <w:t>.</w:t>
      </w:r>
      <w:r w:rsidRPr="000F4D32">
        <w:rPr>
          <w:b/>
          <w:bCs/>
          <w:color w:val="auto"/>
        </w:rPr>
        <w:t xml:space="preserve"> Procedure</w:t>
      </w:r>
    </w:p>
    <w:p w14:paraId="6E0B1AC7" w14:textId="27E62EDC" w:rsidR="000F4D32" w:rsidRDefault="000F4D32" w:rsidP="000F4D32">
      <w:pPr>
        <w:pStyle w:val="Heading1"/>
      </w:pPr>
      <w:r>
        <w:t>1</w:t>
      </w:r>
      <w:r>
        <w:t>.</w:t>
      </w:r>
      <w:r>
        <w:t xml:space="preserve"> Acquire and Register Asset (A.8.1.1, A.8.1.2)</w:t>
      </w:r>
    </w:p>
    <w:p w14:paraId="3B0F3057" w14:textId="77777777" w:rsidR="000F4D32" w:rsidRPr="00A86DDE" w:rsidRDefault="000F4D32" w:rsidP="000F4D32">
      <w:r>
        <w:t xml:space="preserve">Whenever </w:t>
      </w:r>
      <w:bookmarkStart w:id="2" w:name="_Hlk533341752"/>
      <w:r>
        <w:t xml:space="preserve">an information technology asset </w:t>
      </w:r>
      <w:bookmarkEnd w:id="2"/>
      <w:r>
        <w:t xml:space="preserve">is acquired the </w:t>
      </w:r>
      <w:bookmarkStart w:id="3" w:name="_Hlk533341901"/>
      <w:r w:rsidRPr="002E7EC2">
        <w:rPr>
          <w:b/>
        </w:rPr>
        <w:t>Asset</w:t>
      </w:r>
      <w:bookmarkEnd w:id="3"/>
      <w:r w:rsidRPr="002E7EC2">
        <w:rPr>
          <w:b/>
        </w:rPr>
        <w:t xml:space="preserve"> Manager </w:t>
      </w:r>
      <w:r>
        <w:t xml:space="preserve">will capture the following information about the asset in the </w:t>
      </w:r>
      <w:r w:rsidRPr="006F6783">
        <w:rPr>
          <w:rStyle w:val="CBSBoldBlueChar"/>
        </w:rPr>
        <w:t>Asset Register</w:t>
      </w:r>
      <w:r>
        <w:t>.</w:t>
      </w:r>
    </w:p>
    <w:p w14:paraId="50BE50BF" w14:textId="77777777" w:rsidR="000F4D32" w:rsidRPr="00E2759D" w:rsidRDefault="000F4D32" w:rsidP="000F4D32">
      <w:pPr>
        <w:pStyle w:val="ListParagraph"/>
        <w:numPr>
          <w:ilvl w:val="0"/>
          <w:numId w:val="2"/>
        </w:numPr>
        <w:spacing w:before="120" w:after="240" w:line="240" w:lineRule="auto"/>
      </w:pPr>
      <w:r w:rsidRPr="00E2759D">
        <w:t>Identifier (ID) – is the unique identifier for the asset.</w:t>
      </w:r>
    </w:p>
    <w:p w14:paraId="302C92BE" w14:textId="77777777" w:rsidR="000F4D32" w:rsidRPr="00E2759D" w:rsidRDefault="000F4D32" w:rsidP="000F4D32">
      <w:pPr>
        <w:pStyle w:val="ListParagraph"/>
        <w:numPr>
          <w:ilvl w:val="0"/>
          <w:numId w:val="2"/>
        </w:numPr>
        <w:spacing w:before="120" w:after="240" w:line="240" w:lineRule="auto"/>
      </w:pPr>
      <w:r w:rsidRPr="00E2759D">
        <w:t xml:space="preserve">Type – Hardware, </w:t>
      </w:r>
      <w:proofErr w:type="gramStart"/>
      <w:r w:rsidRPr="00E2759D">
        <w:t>Software</w:t>
      </w:r>
      <w:proofErr w:type="gramEnd"/>
      <w:r w:rsidRPr="00E2759D">
        <w:t xml:space="preserve"> or Information asset.</w:t>
      </w:r>
    </w:p>
    <w:p w14:paraId="39065752" w14:textId="77777777" w:rsidR="000F4D32" w:rsidRPr="00E2759D" w:rsidRDefault="000F4D32" w:rsidP="000F4D32">
      <w:pPr>
        <w:pStyle w:val="ListParagraph"/>
        <w:numPr>
          <w:ilvl w:val="0"/>
          <w:numId w:val="2"/>
        </w:numPr>
        <w:spacing w:before="120" w:after="240" w:line="240" w:lineRule="auto"/>
      </w:pPr>
      <w:r w:rsidRPr="00E2759D">
        <w:t>Categories: Enter the category for the asset. For example, a hardware asset might be a server or a storage device, while a software asset might be an operating system or an application.</w:t>
      </w:r>
    </w:p>
    <w:p w14:paraId="4350A587" w14:textId="77777777" w:rsidR="000F4D32" w:rsidRPr="00E2759D" w:rsidRDefault="000F4D32" w:rsidP="000F4D32">
      <w:pPr>
        <w:pStyle w:val="ListParagraph"/>
        <w:numPr>
          <w:ilvl w:val="0"/>
          <w:numId w:val="2"/>
        </w:numPr>
        <w:spacing w:before="120" w:after="240" w:line="240" w:lineRule="auto"/>
      </w:pPr>
      <w:r w:rsidRPr="00E2759D">
        <w:t>Document the date purchased.</w:t>
      </w:r>
    </w:p>
    <w:p w14:paraId="07EB037D" w14:textId="77777777" w:rsidR="000F4D32" w:rsidRPr="00E2759D" w:rsidRDefault="000F4D32" w:rsidP="000F4D32">
      <w:pPr>
        <w:pStyle w:val="ListParagraph"/>
        <w:numPr>
          <w:ilvl w:val="0"/>
          <w:numId w:val="2"/>
        </w:numPr>
        <w:spacing w:before="120" w:after="240" w:line="240" w:lineRule="auto"/>
      </w:pPr>
      <w:r w:rsidRPr="00E2759D">
        <w:t>Record to whom ownership and/or custody has been assigned.</w:t>
      </w:r>
    </w:p>
    <w:p w14:paraId="5DF184E9" w14:textId="77777777" w:rsidR="000F4D32" w:rsidRPr="00E2759D" w:rsidRDefault="000F4D32" w:rsidP="000F4D32">
      <w:pPr>
        <w:pStyle w:val="ListParagraph"/>
        <w:numPr>
          <w:ilvl w:val="0"/>
          <w:numId w:val="2"/>
        </w:numPr>
        <w:spacing w:before="120" w:after="240" w:line="240" w:lineRule="auto"/>
      </w:pPr>
      <w:r w:rsidRPr="00E2759D">
        <w:t xml:space="preserve">For each type of asset capture other descriptive information that will help track the lifecycle of the asset, as guided by the </w:t>
      </w:r>
      <w:r w:rsidRPr="00E2759D">
        <w:rPr>
          <w:rStyle w:val="CBSBoldBlueChar"/>
        </w:rPr>
        <w:t>Asset Register</w:t>
      </w:r>
      <w:r w:rsidRPr="00E2759D">
        <w:t xml:space="preserve"> drop down selections. </w:t>
      </w:r>
    </w:p>
    <w:p w14:paraId="1584C8D2" w14:textId="77777777" w:rsidR="000F4D32" w:rsidRPr="00E2759D" w:rsidRDefault="000F4D32" w:rsidP="000F4D32">
      <w:pPr>
        <w:spacing w:before="120" w:after="240" w:line="240" w:lineRule="auto"/>
        <w:ind w:left="720"/>
        <w:rPr>
          <w:sz w:val="20"/>
          <w:szCs w:val="20"/>
        </w:rPr>
      </w:pPr>
      <w:r w:rsidRPr="00E2759D">
        <w:t>Examples include hardware make, model, and serial numbers; software license numbers and revision levels; and information types and classifications.</w:t>
      </w:r>
    </w:p>
    <w:p w14:paraId="2218E287" w14:textId="12796676" w:rsidR="000F4D32" w:rsidRDefault="000F4D32" w:rsidP="000F4D32">
      <w:pPr>
        <w:pStyle w:val="Heading1"/>
      </w:pPr>
      <w:r>
        <w:t>2</w:t>
      </w:r>
      <w:r>
        <w:t>.</w:t>
      </w:r>
      <w:r w:rsidRPr="004355A2">
        <w:t xml:space="preserve"> </w:t>
      </w:r>
      <w:r>
        <w:t>Deploy Asset (A.8.1.3)</w:t>
      </w:r>
    </w:p>
    <w:p w14:paraId="2FB71E66" w14:textId="77777777" w:rsidR="000F4D32" w:rsidRPr="00E2759D" w:rsidRDefault="000F4D32" w:rsidP="000F4D32">
      <w:pPr>
        <w:tabs>
          <w:tab w:val="num" w:pos="1440"/>
        </w:tabs>
        <w:spacing w:before="120" w:after="240" w:line="240" w:lineRule="auto"/>
        <w:ind w:left="360"/>
      </w:pPr>
      <w:r w:rsidRPr="00E2759D">
        <w:t xml:space="preserve">This step refers to transportation of the asset to its operational location, and performing any planning, development, setup, configuration, and testing processes necessary to place the asset into operation with appropriate ISMS Statement of Applicability controls, and without compromising the security of any other asset. Appropriate updates to the </w:t>
      </w:r>
      <w:r w:rsidRPr="00E2759D">
        <w:rPr>
          <w:rStyle w:val="CBSBoldBlueChar"/>
        </w:rPr>
        <w:t>Asset Register</w:t>
      </w:r>
      <w:r w:rsidRPr="00E2759D">
        <w:t xml:space="preserve"> are made by the </w:t>
      </w:r>
      <w:r w:rsidRPr="00E2759D">
        <w:rPr>
          <w:b/>
        </w:rPr>
        <w:t>Asset Manager</w:t>
      </w:r>
      <w:r w:rsidRPr="00E2759D">
        <w:t>.</w:t>
      </w:r>
    </w:p>
    <w:p w14:paraId="1F16023A" w14:textId="565C7A9B" w:rsidR="000F4D32" w:rsidRDefault="000F4D32" w:rsidP="000F4D32">
      <w:pPr>
        <w:pStyle w:val="Heading1"/>
      </w:pPr>
      <w:r>
        <w:t>3</w:t>
      </w:r>
      <w:r>
        <w:t>.</w:t>
      </w:r>
      <w:r w:rsidRPr="004355A2">
        <w:t xml:space="preserve"> </w:t>
      </w:r>
      <w:r>
        <w:t>Operate Asset (A.8.1.3)</w:t>
      </w:r>
    </w:p>
    <w:p w14:paraId="2A603660" w14:textId="77777777" w:rsidR="000F4D32" w:rsidRPr="00E2759D" w:rsidRDefault="000F4D32" w:rsidP="000F4D32">
      <w:pPr>
        <w:tabs>
          <w:tab w:val="num" w:pos="1440"/>
        </w:tabs>
        <w:spacing w:before="120" w:after="240" w:line="240" w:lineRule="auto"/>
        <w:ind w:left="360"/>
      </w:pPr>
      <w:r w:rsidRPr="00E2759D">
        <w:t xml:space="preserve">This step refers to </w:t>
      </w:r>
      <w:proofErr w:type="gramStart"/>
      <w:r w:rsidRPr="00E2759D">
        <w:t>operation</w:t>
      </w:r>
      <w:proofErr w:type="gramEnd"/>
      <w:r w:rsidRPr="00E2759D">
        <w:t xml:space="preserve"> of assets supporting ongoing protected information processing while maintaining </w:t>
      </w:r>
      <w:r w:rsidRPr="00E2759D">
        <w:rPr>
          <w:rStyle w:val="CBSBoldBlueChar"/>
        </w:rPr>
        <w:t>ISMS Statement of Applicability</w:t>
      </w:r>
      <w:r w:rsidRPr="00E2759D">
        <w:t xml:space="preserve"> controls.</w:t>
      </w:r>
    </w:p>
    <w:p w14:paraId="4812C968" w14:textId="77777777" w:rsidR="000F4D32" w:rsidRPr="00E2759D" w:rsidRDefault="000F4D32" w:rsidP="000F4D32">
      <w:pPr>
        <w:tabs>
          <w:tab w:val="num" w:pos="1440"/>
        </w:tabs>
        <w:spacing w:before="120" w:after="240" w:line="240" w:lineRule="auto"/>
        <w:ind w:left="360"/>
        <w:rPr>
          <w:rStyle w:val="CBSBoldBlueChar"/>
        </w:rPr>
      </w:pPr>
      <w:r w:rsidRPr="00E2759D">
        <w:t xml:space="preserve">If changes occur to the Asset during its operational life, for example, any reassignment of an asset or change in </w:t>
      </w:r>
      <w:proofErr w:type="gramStart"/>
      <w:r w:rsidRPr="00E2759D">
        <w:t>deployment</w:t>
      </w:r>
      <w:proofErr w:type="gramEnd"/>
      <w:r w:rsidRPr="00E2759D">
        <w:t xml:space="preserve"> the </w:t>
      </w:r>
      <w:r w:rsidRPr="00E2759D">
        <w:rPr>
          <w:b/>
        </w:rPr>
        <w:t xml:space="preserve">Asset User </w:t>
      </w:r>
      <w:r w:rsidRPr="00E2759D">
        <w:t xml:space="preserve">will report the change to the </w:t>
      </w:r>
      <w:r w:rsidRPr="00E2759D">
        <w:rPr>
          <w:b/>
        </w:rPr>
        <w:t xml:space="preserve">Asset Manager </w:t>
      </w:r>
      <w:r w:rsidRPr="00E2759D">
        <w:t xml:space="preserve">who will record it in the </w:t>
      </w:r>
      <w:r w:rsidRPr="00E2759D">
        <w:rPr>
          <w:rStyle w:val="CBSBoldBlueChar"/>
        </w:rPr>
        <w:t xml:space="preserve">Asset Register. </w:t>
      </w:r>
    </w:p>
    <w:p w14:paraId="13C56E08" w14:textId="77777777" w:rsidR="000F4D32" w:rsidRDefault="000F4D32" w:rsidP="000F4D32">
      <w:pPr>
        <w:tabs>
          <w:tab w:val="num" w:pos="1440"/>
        </w:tabs>
        <w:spacing w:before="120" w:after="240" w:line="240" w:lineRule="auto"/>
        <w:ind w:left="360"/>
      </w:pPr>
      <w:r w:rsidRPr="00E2759D">
        <w:t xml:space="preserve">In the case of the loss or theft of an asset the </w:t>
      </w:r>
      <w:r w:rsidRPr="00E2759D">
        <w:rPr>
          <w:b/>
        </w:rPr>
        <w:t>Asset User</w:t>
      </w:r>
      <w:r w:rsidRPr="00E2759D">
        <w:t xml:space="preserve"> will immediately inform the </w:t>
      </w:r>
      <w:r w:rsidRPr="00E2759D">
        <w:rPr>
          <w:b/>
        </w:rPr>
        <w:t xml:space="preserve">Asset Manager </w:t>
      </w:r>
      <w:r w:rsidRPr="00E2759D">
        <w:t>or their immediate Supervisor who</w:t>
      </w:r>
      <w:r w:rsidRPr="00E2759D">
        <w:rPr>
          <w:b/>
        </w:rPr>
        <w:t xml:space="preserve"> </w:t>
      </w:r>
      <w:r w:rsidRPr="00E2759D">
        <w:t>will trigger a Security Incident, and the Security Incident Management process.</w:t>
      </w:r>
    </w:p>
    <w:p w14:paraId="6F08DE18" w14:textId="18B06E43" w:rsidR="000F4D32" w:rsidRDefault="000F4D32" w:rsidP="000F4D32">
      <w:pPr>
        <w:pStyle w:val="Heading1"/>
      </w:pPr>
      <w:r>
        <w:lastRenderedPageBreak/>
        <w:t>4</w:t>
      </w:r>
      <w:r w:rsidR="00017F88">
        <w:t>.</w:t>
      </w:r>
      <w:r w:rsidRPr="004355A2">
        <w:t xml:space="preserve"> </w:t>
      </w:r>
      <w:r>
        <w:t>Remove / Dispose of Asset (A.8.1.4)</w:t>
      </w:r>
    </w:p>
    <w:p w14:paraId="423D20BA" w14:textId="77777777" w:rsidR="000F4D32" w:rsidRPr="00E2759D" w:rsidRDefault="000F4D32" w:rsidP="000F4D32">
      <w:pPr>
        <w:tabs>
          <w:tab w:val="num" w:pos="1440"/>
        </w:tabs>
        <w:spacing w:before="120" w:after="240" w:line="240" w:lineRule="auto"/>
        <w:ind w:left="360"/>
      </w:pPr>
      <w:r w:rsidRPr="00E2759D">
        <w:t>This step refers to removal and/or disposal of assets from their operating environments and/or their assigned custodian.</w:t>
      </w:r>
    </w:p>
    <w:p w14:paraId="3E1D4986" w14:textId="77777777" w:rsidR="000F4D32" w:rsidRPr="00E2759D" w:rsidRDefault="000F4D32" w:rsidP="000F4D32">
      <w:pPr>
        <w:tabs>
          <w:tab w:val="num" w:pos="1440"/>
        </w:tabs>
        <w:spacing w:before="120" w:after="240" w:line="240" w:lineRule="auto"/>
        <w:ind w:left="360"/>
      </w:pPr>
      <w:r w:rsidRPr="00E2759D">
        <w:t xml:space="preserve">The </w:t>
      </w:r>
      <w:r w:rsidRPr="00E2759D">
        <w:rPr>
          <w:b/>
        </w:rPr>
        <w:t xml:space="preserve">Asset User </w:t>
      </w:r>
      <w:r w:rsidRPr="00E2759D">
        <w:t>will notify the</w:t>
      </w:r>
      <w:r w:rsidRPr="00E2759D">
        <w:rPr>
          <w:b/>
        </w:rPr>
        <w:t xml:space="preserve"> Asset Manager, </w:t>
      </w:r>
      <w:r w:rsidRPr="00E2759D">
        <w:t>who will determine the planning, preparation, and takedown, without negatively impacting business operations or compromising the protective controls for any other asset.</w:t>
      </w:r>
    </w:p>
    <w:p w14:paraId="049A7E3D" w14:textId="77777777" w:rsidR="000F4D32" w:rsidRPr="00E2759D" w:rsidRDefault="000F4D32" w:rsidP="000F4D32">
      <w:pPr>
        <w:tabs>
          <w:tab w:val="num" w:pos="1440"/>
        </w:tabs>
        <w:spacing w:before="120" w:after="240" w:line="240" w:lineRule="auto"/>
        <w:ind w:left="360"/>
      </w:pPr>
      <w:r w:rsidRPr="00E2759D">
        <w:t xml:space="preserve">This disposition is recorded in the </w:t>
      </w:r>
      <w:r w:rsidRPr="00E2759D">
        <w:rPr>
          <w:rStyle w:val="CBSBoldBlueChar"/>
        </w:rPr>
        <w:t>Asset Register</w:t>
      </w:r>
      <w:r w:rsidRPr="00E2759D">
        <w:t xml:space="preserve"> by the </w:t>
      </w:r>
      <w:r w:rsidRPr="00E2759D">
        <w:rPr>
          <w:b/>
        </w:rPr>
        <w:t>Asset Manager</w:t>
      </w:r>
      <w:r w:rsidRPr="00E2759D">
        <w:t>.</w:t>
      </w:r>
    </w:p>
    <w:p w14:paraId="35E9947F" w14:textId="78A728C8" w:rsidR="000F4D32" w:rsidRDefault="000F4D32" w:rsidP="00017F88">
      <w:pPr>
        <w:pStyle w:val="Heading1"/>
      </w:pPr>
      <w:r>
        <w:t>5</w:t>
      </w:r>
      <w:r w:rsidR="00017F88">
        <w:t>.</w:t>
      </w:r>
      <w:r w:rsidRPr="004355A2">
        <w:t xml:space="preserve"> </w:t>
      </w:r>
      <w:r>
        <w:t>Monitor, Track, and Review Assets (A.8.1.1, A.8.1.2, A.8.1.3, A.8.1.4)</w:t>
      </w:r>
    </w:p>
    <w:p w14:paraId="5CF297AA" w14:textId="77777777" w:rsidR="000F4D32" w:rsidRPr="00E2759D" w:rsidRDefault="000F4D32" w:rsidP="000F4D32">
      <w:pPr>
        <w:pStyle w:val="ListParagraph"/>
        <w:numPr>
          <w:ilvl w:val="0"/>
          <w:numId w:val="3"/>
        </w:numPr>
        <w:spacing w:before="120" w:after="240" w:line="240" w:lineRule="auto"/>
      </w:pPr>
      <w:r w:rsidRPr="00E2759D">
        <w:t xml:space="preserve">Changes to Assets: Status changes (e.g., location, assignment, classification…) are recorded in the </w:t>
      </w:r>
      <w:r w:rsidRPr="00E2759D">
        <w:rPr>
          <w:rStyle w:val="CBSBoldBlueChar"/>
        </w:rPr>
        <w:t>Asset Register</w:t>
      </w:r>
      <w:r w:rsidRPr="00E2759D">
        <w:t xml:space="preserve"> by the </w:t>
      </w:r>
      <w:bookmarkStart w:id="4" w:name="_Hlk533344199"/>
      <w:r w:rsidRPr="00E2759D">
        <w:rPr>
          <w:b/>
        </w:rPr>
        <w:t>Asset Manager</w:t>
      </w:r>
      <w:r w:rsidRPr="00E2759D">
        <w:t xml:space="preserve"> </w:t>
      </w:r>
      <w:bookmarkEnd w:id="4"/>
      <w:r w:rsidRPr="00E2759D">
        <w:t>at the time of the change and throughout the service life of the Asset.</w:t>
      </w:r>
    </w:p>
    <w:p w14:paraId="61B13231" w14:textId="77777777" w:rsidR="000F4D32" w:rsidRPr="00E2759D" w:rsidRDefault="000F4D32" w:rsidP="000F4D32">
      <w:pPr>
        <w:pStyle w:val="ListParagraph"/>
        <w:numPr>
          <w:ilvl w:val="0"/>
          <w:numId w:val="3"/>
        </w:numPr>
        <w:spacing w:before="120" w:after="240" w:line="240" w:lineRule="auto"/>
      </w:pPr>
      <w:r w:rsidRPr="00E2759D">
        <w:t xml:space="preserve">Monitoring of Assets: </w:t>
      </w:r>
      <w:r w:rsidRPr="00E2759D">
        <w:rPr>
          <w:color w:val="auto"/>
        </w:rPr>
        <w:t>This</w:t>
      </w:r>
      <w:r w:rsidRPr="00E2759D">
        <w:rPr>
          <w:b/>
          <w:color w:val="FFFFFF" w:themeColor="background1"/>
        </w:rPr>
        <w:t xml:space="preserve"> Asset Management Procedure</w:t>
      </w:r>
      <w:r w:rsidRPr="00E2759D">
        <w:rPr>
          <w:color w:val="FFFFFF" w:themeColor="background1"/>
        </w:rPr>
        <w:t xml:space="preserve"> </w:t>
      </w:r>
      <w:r w:rsidRPr="00E2759D">
        <w:t xml:space="preserve">is a focus of the Internal Audit activity to assure ongoing accuracy of the </w:t>
      </w:r>
      <w:r w:rsidRPr="00E2759D">
        <w:rPr>
          <w:b/>
          <w:color w:val="FFFFFF" w:themeColor="background1"/>
        </w:rPr>
        <w:t>Asset Register</w:t>
      </w:r>
      <w:r w:rsidRPr="00E2759D">
        <w:t xml:space="preserve"> and compliance </w:t>
      </w:r>
      <w:proofErr w:type="gramStart"/>
      <w:r w:rsidRPr="00E2759D">
        <w:t>to</w:t>
      </w:r>
      <w:proofErr w:type="gramEnd"/>
      <w:r w:rsidRPr="00E2759D">
        <w:t xml:space="preserve"> the procedure.</w:t>
      </w:r>
    </w:p>
    <w:p w14:paraId="65DF6F0B" w14:textId="77777777" w:rsidR="000F4D32" w:rsidRPr="00E2759D" w:rsidRDefault="000F4D32" w:rsidP="000F4D32">
      <w:pPr>
        <w:pStyle w:val="ListParagraph"/>
        <w:numPr>
          <w:ilvl w:val="0"/>
          <w:numId w:val="3"/>
        </w:numPr>
        <w:spacing w:before="120" w:after="240" w:line="240" w:lineRule="auto"/>
      </w:pPr>
      <w:r w:rsidRPr="00E2759D">
        <w:rPr>
          <w:u w:val="single"/>
        </w:rPr>
        <w:t>Review of Assets:</w:t>
      </w:r>
      <w:r w:rsidRPr="00E2759D">
        <w:t xml:space="preserve"> The Asset Security Management System, and the </w:t>
      </w:r>
      <w:r w:rsidRPr="00E2759D">
        <w:rPr>
          <w:rStyle w:val="CBSBoldBlueChar"/>
        </w:rPr>
        <w:t>Asset Register</w:t>
      </w:r>
      <w:r w:rsidRPr="00E2759D">
        <w:t>, are included as agenda topics for ISMS Management Review.</w:t>
      </w:r>
      <w:r w:rsidRPr="00E2759D">
        <w:rPr>
          <w:u w:val="single"/>
        </w:rPr>
        <w:t xml:space="preserve"> </w:t>
      </w:r>
    </w:p>
    <w:p w14:paraId="47B3F2C1" w14:textId="77777777" w:rsidR="000F4D32" w:rsidRPr="00E2759D" w:rsidRDefault="000F4D32" w:rsidP="000F4D32">
      <w:pPr>
        <w:tabs>
          <w:tab w:val="num" w:pos="1440"/>
        </w:tabs>
        <w:spacing w:before="120" w:after="240" w:line="240" w:lineRule="auto"/>
        <w:rPr>
          <w:color w:val="auto"/>
        </w:rPr>
      </w:pPr>
      <w:r w:rsidRPr="00E2759D">
        <w:t xml:space="preserve">A Physical Inventory of all assets will be conducted annually by the </w:t>
      </w:r>
      <w:r w:rsidRPr="00E2759D">
        <w:rPr>
          <w:b/>
          <w:color w:val="auto"/>
        </w:rPr>
        <w:t>Asset Manager</w:t>
      </w:r>
      <w:r w:rsidRPr="00E2759D">
        <w:t xml:space="preserve"> with the assistance of department managers</w:t>
      </w:r>
      <w:r w:rsidRPr="00E2759D">
        <w:rPr>
          <w:b/>
          <w:color w:val="auto"/>
        </w:rPr>
        <w:t>.</w:t>
      </w:r>
      <w:r w:rsidRPr="00E2759D">
        <w:rPr>
          <w:color w:val="auto"/>
        </w:rPr>
        <w:t xml:space="preserve"> </w:t>
      </w:r>
    </w:p>
    <w:p w14:paraId="5D74B652" w14:textId="77777777" w:rsidR="000F4D32" w:rsidRPr="00E2759D" w:rsidRDefault="000F4D32" w:rsidP="000F4D32">
      <w:pPr>
        <w:tabs>
          <w:tab w:val="num" w:pos="1440"/>
        </w:tabs>
        <w:spacing w:before="120" w:after="240" w:line="240" w:lineRule="auto"/>
      </w:pPr>
      <w:r w:rsidRPr="00E2759D">
        <w:t xml:space="preserve">The results of these inventories will be retained by the </w:t>
      </w:r>
      <w:r w:rsidRPr="00E2759D">
        <w:rPr>
          <w:b/>
        </w:rPr>
        <w:t xml:space="preserve">Asset Manager </w:t>
      </w:r>
      <w:r w:rsidRPr="00E2759D">
        <w:t xml:space="preserve">and covered during </w:t>
      </w:r>
      <w:proofErr w:type="gramStart"/>
      <w:r w:rsidRPr="00E2759D">
        <w:t>Management</w:t>
      </w:r>
      <w:proofErr w:type="gramEnd"/>
      <w:r w:rsidRPr="00E2759D">
        <w:t xml:space="preserve"> Review.</w:t>
      </w:r>
    </w:p>
    <w:p w14:paraId="693ECB41" w14:textId="1E6756DA" w:rsidR="000F4D32" w:rsidRPr="000F4D32" w:rsidRDefault="000F4D32" w:rsidP="000F4D32">
      <w:pPr>
        <w:pStyle w:val="Heading1CBSGreen"/>
        <w:rPr>
          <w:b/>
          <w:bCs/>
          <w:color w:val="auto"/>
        </w:rPr>
      </w:pPr>
      <w:r w:rsidRPr="000F4D32">
        <w:rPr>
          <w:b/>
          <w:bCs/>
          <w:color w:val="auto"/>
        </w:rPr>
        <w:t>6</w:t>
      </w:r>
      <w:r>
        <w:rPr>
          <w:b/>
          <w:bCs/>
          <w:color w:val="auto"/>
        </w:rPr>
        <w:t>.</w:t>
      </w:r>
      <w:r w:rsidRPr="000F4D32">
        <w:rPr>
          <w:b/>
          <w:bCs/>
          <w:color w:val="auto"/>
        </w:rPr>
        <w:t xml:space="preserve"> Asset management records</w:t>
      </w:r>
    </w:p>
    <w:p w14:paraId="451C55EF" w14:textId="6C0B83B3" w:rsidR="000F4D32" w:rsidRPr="000F4D32" w:rsidRDefault="000F4D32" w:rsidP="000F4D32">
      <w:pPr>
        <w:pStyle w:val="CBSApproachBullet"/>
        <w:numPr>
          <w:ilvl w:val="0"/>
          <w:numId w:val="5"/>
        </w:numPr>
      </w:pPr>
      <w:r w:rsidRPr="006D4672">
        <w:t xml:space="preserve">Asset Register </w:t>
      </w:r>
    </w:p>
    <w:p w14:paraId="6B199554" w14:textId="64F9D5EB" w:rsidR="000F4D32" w:rsidRPr="000F4D32" w:rsidRDefault="000F4D32" w:rsidP="000F4D32">
      <w:pPr>
        <w:pStyle w:val="Heading1CBSGreen"/>
        <w:rPr>
          <w:b/>
          <w:bCs/>
          <w:color w:val="auto"/>
        </w:rPr>
      </w:pPr>
      <w:r w:rsidRPr="000F4D32">
        <w:rPr>
          <w:b/>
          <w:bCs/>
          <w:color w:val="auto"/>
        </w:rPr>
        <w:t>7</w:t>
      </w:r>
      <w:r>
        <w:rPr>
          <w:b/>
          <w:bCs/>
          <w:color w:val="auto"/>
        </w:rPr>
        <w:t>.</w:t>
      </w:r>
      <w:r w:rsidRPr="000F4D32">
        <w:rPr>
          <w:b/>
          <w:bCs/>
          <w:color w:val="auto"/>
        </w:rPr>
        <w:t xml:space="preserve"> Reference Documents</w:t>
      </w:r>
    </w:p>
    <w:p w14:paraId="4F8299BF" w14:textId="77777777" w:rsidR="000F4D32" w:rsidRDefault="000F4D32" w:rsidP="000F4D32">
      <w:pPr>
        <w:pStyle w:val="CBSApproachBullet"/>
        <w:numPr>
          <w:ilvl w:val="0"/>
          <w:numId w:val="6"/>
        </w:numPr>
      </w:pPr>
      <w:r>
        <w:t>Information Security Management System (ISMS) Plan</w:t>
      </w:r>
    </w:p>
    <w:p w14:paraId="60511352" w14:textId="77777777" w:rsidR="000F4D32" w:rsidRDefault="000F4D32" w:rsidP="000F4D32">
      <w:pPr>
        <w:pStyle w:val="CBSApproachBullet"/>
        <w:numPr>
          <w:ilvl w:val="0"/>
          <w:numId w:val="6"/>
        </w:numPr>
      </w:pPr>
      <w:r>
        <w:t>Information Security Manual</w:t>
      </w:r>
    </w:p>
    <w:p w14:paraId="215F0FF3" w14:textId="77777777" w:rsidR="000F4D32" w:rsidRDefault="000F4D32" w:rsidP="000F4D32">
      <w:pPr>
        <w:pStyle w:val="CBSApproachBullet"/>
        <w:numPr>
          <w:ilvl w:val="0"/>
          <w:numId w:val="6"/>
        </w:numPr>
      </w:pPr>
      <w:r>
        <w:t>Asset Register</w:t>
      </w:r>
    </w:p>
    <w:p w14:paraId="56F3AAFA" w14:textId="77777777" w:rsidR="000F4D32" w:rsidRDefault="000F4D32" w:rsidP="000F4D32">
      <w:pPr>
        <w:pStyle w:val="CBSApproachBullet"/>
        <w:numPr>
          <w:ilvl w:val="0"/>
          <w:numId w:val="6"/>
        </w:numPr>
      </w:pPr>
      <w:r>
        <w:t>HR Security Policy</w:t>
      </w:r>
    </w:p>
    <w:p w14:paraId="747E9A36" w14:textId="10C86E0E" w:rsidR="000F4D32" w:rsidRDefault="000F4D32" w:rsidP="000F4D32">
      <w:pPr>
        <w:pStyle w:val="CBSApproachBullet"/>
        <w:numPr>
          <w:ilvl w:val="0"/>
          <w:numId w:val="6"/>
        </w:numPr>
      </w:pPr>
      <w:r>
        <w:t>Acceptable Use Polic</w:t>
      </w:r>
      <w:r>
        <w:t>y</w:t>
      </w:r>
    </w:p>
    <w:sectPr w:rsidR="000F4D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D6E9" w14:textId="77777777" w:rsidR="00740EFF" w:rsidRDefault="00740EFF" w:rsidP="00DE3C16">
      <w:pPr>
        <w:spacing w:before="0" w:after="0" w:line="240" w:lineRule="auto"/>
      </w:pPr>
      <w:r>
        <w:separator/>
      </w:r>
    </w:p>
  </w:endnote>
  <w:endnote w:type="continuationSeparator" w:id="0">
    <w:p w14:paraId="7210B77A" w14:textId="77777777" w:rsidR="00740EFF" w:rsidRDefault="00740EFF" w:rsidP="00DE3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9875" w14:textId="77777777" w:rsidR="00673BF8" w:rsidRDefault="00673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8C6A" w14:textId="31CE18E7" w:rsidR="00DE3C16" w:rsidRPr="00416D13" w:rsidRDefault="000F4D32" w:rsidP="00DE3C16">
    <w:pPr>
      <w:pStyle w:val="Footer"/>
      <w:tabs>
        <w:tab w:val="clear" w:pos="4680"/>
        <w:tab w:val="clear" w:pos="9360"/>
        <w:tab w:val="center" w:pos="5670"/>
        <w:tab w:val="right" w:pos="10710"/>
      </w:tabs>
      <w:spacing w:before="120"/>
      <w:ind w:left="0"/>
      <w:rPr>
        <w:sz w:val="18"/>
        <w:szCs w:val="18"/>
      </w:rPr>
    </w:pPr>
    <w:proofErr w:type="spellStart"/>
    <w:r>
      <w:rPr>
        <w:sz w:val="18"/>
        <w:szCs w:val="18"/>
      </w:rPr>
      <w:t>PurpleSec</w:t>
    </w:r>
    <w:proofErr w:type="spellEnd"/>
    <w:r w:rsidR="00DE3C16" w:rsidRPr="00416D13">
      <w:rPr>
        <w:iCs/>
        <w:sz w:val="18"/>
        <w:szCs w:val="18"/>
      </w:rPr>
      <w:ptab w:relativeTo="margin" w:alignment="center" w:leader="none"/>
    </w:r>
    <w:r w:rsidR="00DE3C16" w:rsidRPr="19D67A46">
      <w:rPr>
        <w:sz w:val="18"/>
        <w:szCs w:val="18"/>
      </w:rPr>
      <w:t xml:space="preserve">Page </w:t>
    </w:r>
    <w:r w:rsidR="00DE3C16" w:rsidRPr="19D67A46">
      <w:rPr>
        <w:b/>
        <w:bCs/>
        <w:noProof/>
        <w:sz w:val="18"/>
        <w:szCs w:val="18"/>
      </w:rPr>
      <w:fldChar w:fldCharType="begin"/>
    </w:r>
    <w:r w:rsidR="00DE3C16" w:rsidRPr="19D67A46">
      <w:rPr>
        <w:b/>
        <w:bCs/>
        <w:sz w:val="18"/>
        <w:szCs w:val="18"/>
      </w:rPr>
      <w:instrText xml:space="preserve"> PAGE  \* Arabic  \* MERGEFORMAT </w:instrText>
    </w:r>
    <w:r w:rsidR="00DE3C16" w:rsidRPr="19D67A46">
      <w:rPr>
        <w:b/>
        <w:bCs/>
        <w:sz w:val="18"/>
        <w:szCs w:val="18"/>
      </w:rPr>
      <w:fldChar w:fldCharType="separate"/>
    </w:r>
    <w:r w:rsidR="00DE3C16">
      <w:rPr>
        <w:b/>
        <w:bCs/>
        <w:sz w:val="18"/>
        <w:szCs w:val="18"/>
      </w:rPr>
      <w:t>1</w:t>
    </w:r>
    <w:r w:rsidR="00DE3C16" w:rsidRPr="19D67A46">
      <w:rPr>
        <w:b/>
        <w:bCs/>
        <w:noProof/>
        <w:sz w:val="18"/>
        <w:szCs w:val="18"/>
      </w:rPr>
      <w:fldChar w:fldCharType="end"/>
    </w:r>
    <w:r w:rsidR="00DE3C16" w:rsidRPr="19D67A46">
      <w:rPr>
        <w:sz w:val="18"/>
        <w:szCs w:val="18"/>
      </w:rPr>
      <w:t xml:space="preserve"> of </w:t>
    </w:r>
    <w:r w:rsidR="00DE3C16" w:rsidRPr="19D67A46">
      <w:rPr>
        <w:b/>
        <w:bCs/>
        <w:noProof/>
        <w:sz w:val="18"/>
        <w:szCs w:val="18"/>
      </w:rPr>
      <w:fldChar w:fldCharType="begin"/>
    </w:r>
    <w:r w:rsidR="00DE3C16" w:rsidRPr="19D67A46">
      <w:rPr>
        <w:b/>
        <w:bCs/>
        <w:sz w:val="18"/>
        <w:szCs w:val="18"/>
      </w:rPr>
      <w:instrText xml:space="preserve"> NUMPAGES  \* Arabic  \* MERGEFORMAT </w:instrText>
    </w:r>
    <w:r w:rsidR="00DE3C16" w:rsidRPr="19D67A46">
      <w:rPr>
        <w:b/>
        <w:bCs/>
        <w:sz w:val="18"/>
        <w:szCs w:val="18"/>
      </w:rPr>
      <w:fldChar w:fldCharType="separate"/>
    </w:r>
    <w:r w:rsidR="00DE3C16">
      <w:rPr>
        <w:b/>
        <w:bCs/>
        <w:sz w:val="18"/>
        <w:szCs w:val="18"/>
      </w:rPr>
      <w:t>5</w:t>
    </w:r>
    <w:r w:rsidR="00DE3C16" w:rsidRPr="19D67A46">
      <w:rPr>
        <w:b/>
        <w:bCs/>
        <w:noProof/>
        <w:sz w:val="18"/>
        <w:szCs w:val="18"/>
      </w:rPr>
      <w:fldChar w:fldCharType="end"/>
    </w:r>
    <w:r w:rsidR="00DE3C16" w:rsidRPr="00416D13">
      <w:rPr>
        <w:iCs/>
        <w:sz w:val="18"/>
        <w:szCs w:val="18"/>
      </w:rPr>
      <w:ptab w:relativeTo="margin" w:alignment="right" w:leader="none"/>
    </w:r>
  </w:p>
  <w:p w14:paraId="11896AEB" w14:textId="49E8EDEE" w:rsidR="00DE3C16" w:rsidRPr="00DE3C16" w:rsidRDefault="00DE3C16" w:rsidP="00673BF8">
    <w:pPr>
      <w:pStyle w:val="Footer"/>
      <w:tabs>
        <w:tab w:val="clear" w:pos="4680"/>
        <w:tab w:val="clear" w:pos="9360"/>
        <w:tab w:val="left" w:pos="5670"/>
      </w:tabs>
      <w:spacing w:before="120"/>
      <w:ind w:left="0"/>
      <w:rPr>
        <w:sz w:val="18"/>
        <w:szCs w:val="18"/>
      </w:rPr>
    </w:pPr>
    <w:r w:rsidRPr="00416D13">
      <w:rPr>
        <w:iCs/>
        <w:sz w:val="18"/>
        <w:szCs w:val="18"/>
      </w:rPr>
      <w:t>ISO 27001</w:t>
    </w:r>
    <w:r w:rsidR="00673BF8">
      <w:rPr>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9EF9" w14:textId="77777777" w:rsidR="00673BF8" w:rsidRDefault="0067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FB3F3" w14:textId="77777777" w:rsidR="00740EFF" w:rsidRDefault="00740EFF" w:rsidP="00DE3C16">
      <w:pPr>
        <w:spacing w:before="0" w:after="0" w:line="240" w:lineRule="auto"/>
      </w:pPr>
      <w:r>
        <w:separator/>
      </w:r>
    </w:p>
  </w:footnote>
  <w:footnote w:type="continuationSeparator" w:id="0">
    <w:p w14:paraId="198A94A2" w14:textId="77777777" w:rsidR="00740EFF" w:rsidRDefault="00740EFF" w:rsidP="00DE3C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578C" w14:textId="77777777" w:rsidR="00673BF8" w:rsidRDefault="00673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010B" w14:textId="191C694A" w:rsidR="00DE3C16" w:rsidRPr="00DE3C16" w:rsidRDefault="00DE3C16" w:rsidP="00DE3C16">
    <w:pPr>
      <w:pStyle w:val="Header"/>
      <w:tabs>
        <w:tab w:val="clear" w:pos="4680"/>
        <w:tab w:val="clear" w:pos="9360"/>
      </w:tabs>
      <w:spacing w:before="120" w:after="120"/>
      <w:ind w:left="0"/>
      <w:rPr>
        <w:rFonts w:cs="Calibri"/>
        <w:noProof/>
        <w:color w:val="auto"/>
      </w:rPr>
    </w:pPr>
    <w:bookmarkStart w:id="5" w:name="_Hlk164373251"/>
    <w:bookmarkStart w:id="6" w:name="_Hlk164373252"/>
    <w:r w:rsidRPr="008A686F">
      <w:rPr>
        <w:rFonts w:cs="Calibri"/>
        <w:noProof/>
        <w:highlight w:val="yellow"/>
      </w:rPr>
      <w:t>[LOGO/Company Name Here]</w:t>
    </w:r>
    <w:r w:rsidRPr="008A686F">
      <w:rPr>
        <w:rFonts w:cs="Calibri"/>
        <w:noProof/>
        <w:sz w:val="24"/>
        <w:szCs w:val="24"/>
      </w:rPr>
      <w:tab/>
    </w:r>
    <w:r w:rsidRPr="007D6B5D">
      <w:rPr>
        <w:rFonts w:cs="Calibri"/>
        <w:noProof/>
        <w:sz w:val="24"/>
        <w:szCs w:val="24"/>
      </w:rPr>
      <w:tab/>
    </w:r>
    <w:r w:rsidRPr="007D6B5D">
      <w:rPr>
        <w:rFonts w:cs="Calibri"/>
        <w:noProof/>
        <w:sz w:val="24"/>
        <w:szCs w:val="24"/>
      </w:rPr>
      <w:tab/>
    </w:r>
    <w:r w:rsidRPr="007D6B5D">
      <w:rPr>
        <w:rFonts w:cs="Calibri"/>
        <w:noProof/>
        <w:sz w:val="24"/>
        <w:szCs w:val="24"/>
      </w:rPr>
      <w:tab/>
    </w:r>
    <w:r w:rsidRPr="007D6B5D">
      <w:rPr>
        <w:rFonts w:cs="Calibri"/>
        <w:noProof/>
        <w:sz w:val="24"/>
        <w:szCs w:val="24"/>
      </w:rPr>
      <w:tab/>
      <w:t xml:space="preserve">          </w:t>
    </w:r>
    <w:r w:rsidRPr="007D6B5D">
      <w:rPr>
        <w:rFonts w:cs="Calibri"/>
        <w:noProof/>
        <w:sz w:val="24"/>
        <w:szCs w:val="24"/>
      </w:rPr>
      <w:tab/>
    </w:r>
    <w:r w:rsidRPr="007D6B5D">
      <w:rPr>
        <w:rFonts w:cs="Calibri"/>
        <w:noProof/>
        <w:sz w:val="24"/>
        <w:szCs w:val="24"/>
      </w:rPr>
      <w:tab/>
    </w:r>
    <w:r>
      <w:rPr>
        <w:rFonts w:cs="Calibri"/>
        <w:noProof/>
        <w:sz w:val="24"/>
        <w:szCs w:val="24"/>
      </w:rPr>
      <w:tab/>
    </w:r>
    <w:r>
      <w:rPr>
        <w:rFonts w:cs="Calibri"/>
        <w:noProof/>
        <w:sz w:val="24"/>
        <w:szCs w:val="24"/>
      </w:rPr>
      <w:tab/>
    </w:r>
    <w:r w:rsidRPr="007D6B5D">
      <w:rPr>
        <w:rFonts w:cs="Calibri"/>
        <w:noProof/>
        <w:color w:val="FF0000"/>
      </w:rPr>
      <w:t>Rev 0</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7540" w14:textId="77777777" w:rsidR="00673BF8" w:rsidRDefault="0067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61F4"/>
    <w:multiLevelType w:val="hybridMultilevel"/>
    <w:tmpl w:val="45646D2C"/>
    <w:lvl w:ilvl="0" w:tplc="2C7CD89E">
      <w:start w:val="1"/>
      <w:numFmt w:val="bullet"/>
      <w:lvlText w:val=""/>
      <w:lvlJc w:val="left"/>
      <w:pPr>
        <w:ind w:left="1080" w:hanging="360"/>
      </w:pPr>
      <w:rPr>
        <w:rFonts w:ascii="Symbol" w:hAnsi="Symbol" w:hint="default"/>
        <w:color w:val="156082" w:themeColor="accen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533645"/>
    <w:multiLevelType w:val="hybridMultilevel"/>
    <w:tmpl w:val="453C6AB2"/>
    <w:lvl w:ilvl="0" w:tplc="2C7CD89E">
      <w:start w:val="1"/>
      <w:numFmt w:val="bullet"/>
      <w:lvlText w:val=""/>
      <w:lvlJc w:val="left"/>
      <w:pPr>
        <w:ind w:left="72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B12EA"/>
    <w:multiLevelType w:val="hybridMultilevel"/>
    <w:tmpl w:val="8B4096A4"/>
    <w:lvl w:ilvl="0" w:tplc="2C7CD89E">
      <w:start w:val="1"/>
      <w:numFmt w:val="bullet"/>
      <w:lvlText w:val=""/>
      <w:lvlJc w:val="left"/>
      <w:pPr>
        <w:ind w:left="1080" w:hanging="360"/>
      </w:pPr>
      <w:rPr>
        <w:rFonts w:ascii="Symbol" w:hAnsi="Symbol" w:hint="default"/>
        <w:color w:val="15608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AA0DBC"/>
    <w:multiLevelType w:val="hybridMultilevel"/>
    <w:tmpl w:val="08F04AE0"/>
    <w:lvl w:ilvl="0" w:tplc="2C7CD89E">
      <w:start w:val="1"/>
      <w:numFmt w:val="bullet"/>
      <w:lvlText w:val=""/>
      <w:lvlJc w:val="left"/>
      <w:pPr>
        <w:ind w:left="1080" w:hanging="360"/>
      </w:pPr>
      <w:rPr>
        <w:rFonts w:ascii="Symbol" w:hAnsi="Symbol"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B7442"/>
    <w:multiLevelType w:val="hybridMultilevel"/>
    <w:tmpl w:val="3C308CE4"/>
    <w:lvl w:ilvl="0" w:tplc="CE3456AC">
      <w:start w:val="1"/>
      <w:numFmt w:val="bullet"/>
      <w:pStyle w:val="CBSApproachBullet"/>
      <w:lvlText w:val=""/>
      <w:lvlJc w:val="left"/>
      <w:pPr>
        <w:ind w:left="1440" w:hanging="360"/>
      </w:pPr>
      <w:rPr>
        <w:rFonts w:ascii="Symbol" w:hAnsi="Symbol" w:hint="default"/>
        <w:color w:val="F582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942B0C"/>
    <w:multiLevelType w:val="hybridMultilevel"/>
    <w:tmpl w:val="4ADC4168"/>
    <w:lvl w:ilvl="0" w:tplc="2C7CD89E">
      <w:start w:val="1"/>
      <w:numFmt w:val="bullet"/>
      <w:lvlText w:val=""/>
      <w:lvlJc w:val="left"/>
      <w:pPr>
        <w:ind w:left="1080" w:hanging="360"/>
      </w:pPr>
      <w:rPr>
        <w:rFonts w:ascii="Symbol" w:hAnsi="Symbol" w:hint="default"/>
        <w:color w:val="15608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602328">
    <w:abstractNumId w:val="3"/>
  </w:num>
  <w:num w:numId="2" w16cid:durableId="1244141095">
    <w:abstractNumId w:val="2"/>
  </w:num>
  <w:num w:numId="3" w16cid:durableId="1976718297">
    <w:abstractNumId w:val="1"/>
  </w:num>
  <w:num w:numId="4" w16cid:durableId="1725061241">
    <w:abstractNumId w:val="4"/>
  </w:num>
  <w:num w:numId="5" w16cid:durableId="291638603">
    <w:abstractNumId w:val="5"/>
  </w:num>
  <w:num w:numId="6" w16cid:durableId="114570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E3"/>
    <w:rsid w:val="0001408D"/>
    <w:rsid w:val="00017F88"/>
    <w:rsid w:val="000F4D32"/>
    <w:rsid w:val="0043048F"/>
    <w:rsid w:val="00673BF8"/>
    <w:rsid w:val="00740EFF"/>
    <w:rsid w:val="00A879E3"/>
    <w:rsid w:val="00B009D0"/>
    <w:rsid w:val="00BE4D1A"/>
    <w:rsid w:val="00D12110"/>
    <w:rsid w:val="00DE3C16"/>
    <w:rsid w:val="00E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64FD"/>
  <w15:chartTrackingRefBased/>
  <w15:docId w15:val="{DFFD273A-468C-43C5-AAB7-640F64A1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BS Approach"/>
    <w:qFormat/>
    <w:rsid w:val="00DE3C16"/>
    <w:pPr>
      <w:spacing w:before="360" w:after="200" w:line="276" w:lineRule="auto"/>
      <w:ind w:left="432"/>
    </w:pPr>
    <w:rPr>
      <w:color w:val="4B4B4B"/>
      <w:kern w:val="0"/>
      <w14:ligatures w14:val="none"/>
    </w:rPr>
  </w:style>
  <w:style w:type="paragraph" w:styleId="Heading1">
    <w:name w:val="heading 1"/>
    <w:basedOn w:val="Normal"/>
    <w:next w:val="Normal"/>
    <w:link w:val="Heading1Char"/>
    <w:uiPriority w:val="9"/>
    <w:qFormat/>
    <w:rsid w:val="00A879E3"/>
    <w:pPr>
      <w:keepNext/>
      <w:keepLines/>
      <w:spacing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9E3"/>
    <w:rPr>
      <w:rFonts w:eastAsiaTheme="majorEastAsia" w:cstheme="majorBidi"/>
      <w:color w:val="272727" w:themeColor="text1" w:themeTint="D8"/>
    </w:rPr>
  </w:style>
  <w:style w:type="paragraph" w:styleId="Title">
    <w:name w:val="Title"/>
    <w:basedOn w:val="Normal"/>
    <w:next w:val="Normal"/>
    <w:link w:val="TitleChar"/>
    <w:uiPriority w:val="10"/>
    <w:qFormat/>
    <w:rsid w:val="00A87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9E3"/>
    <w:pPr>
      <w:spacing w:before="160"/>
      <w:jc w:val="center"/>
    </w:pPr>
    <w:rPr>
      <w:i/>
      <w:iCs/>
      <w:color w:val="404040" w:themeColor="text1" w:themeTint="BF"/>
    </w:rPr>
  </w:style>
  <w:style w:type="character" w:customStyle="1" w:styleId="QuoteChar">
    <w:name w:val="Quote Char"/>
    <w:basedOn w:val="DefaultParagraphFont"/>
    <w:link w:val="Quote"/>
    <w:uiPriority w:val="29"/>
    <w:rsid w:val="00A879E3"/>
    <w:rPr>
      <w:i/>
      <w:iCs/>
      <w:color w:val="404040" w:themeColor="text1" w:themeTint="BF"/>
    </w:rPr>
  </w:style>
  <w:style w:type="paragraph" w:styleId="ListParagraph">
    <w:name w:val="List Paragraph"/>
    <w:basedOn w:val="Normal"/>
    <w:link w:val="ListParagraphChar"/>
    <w:uiPriority w:val="34"/>
    <w:qFormat/>
    <w:rsid w:val="00A879E3"/>
    <w:pPr>
      <w:ind w:left="720"/>
      <w:contextualSpacing/>
    </w:pPr>
  </w:style>
  <w:style w:type="character" w:styleId="IntenseEmphasis">
    <w:name w:val="Intense Emphasis"/>
    <w:basedOn w:val="DefaultParagraphFont"/>
    <w:uiPriority w:val="21"/>
    <w:qFormat/>
    <w:rsid w:val="00A879E3"/>
    <w:rPr>
      <w:i/>
      <w:iCs/>
      <w:color w:val="0F4761" w:themeColor="accent1" w:themeShade="BF"/>
    </w:rPr>
  </w:style>
  <w:style w:type="paragraph" w:styleId="IntenseQuote">
    <w:name w:val="Intense Quote"/>
    <w:basedOn w:val="Normal"/>
    <w:next w:val="Normal"/>
    <w:link w:val="IntenseQuoteChar"/>
    <w:uiPriority w:val="30"/>
    <w:qFormat/>
    <w:rsid w:val="00A879E3"/>
    <w:pPr>
      <w:pBdr>
        <w:top w:val="single" w:sz="4" w:space="10" w:color="0F4761" w:themeColor="accent1" w:themeShade="BF"/>
        <w:bottom w:val="single" w:sz="4" w:space="10" w:color="0F4761" w:themeColor="accent1" w:themeShade="BF"/>
      </w:pBdr>
      <w:spacing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9E3"/>
    <w:rPr>
      <w:i/>
      <w:iCs/>
      <w:color w:val="0F4761" w:themeColor="accent1" w:themeShade="BF"/>
    </w:rPr>
  </w:style>
  <w:style w:type="character" w:styleId="IntenseReference">
    <w:name w:val="Intense Reference"/>
    <w:basedOn w:val="DefaultParagraphFont"/>
    <w:uiPriority w:val="32"/>
    <w:qFormat/>
    <w:rsid w:val="00A879E3"/>
    <w:rPr>
      <w:b/>
      <w:bCs/>
      <w:smallCaps/>
      <w:color w:val="0F4761" w:themeColor="accent1" w:themeShade="BF"/>
      <w:spacing w:val="5"/>
    </w:rPr>
  </w:style>
  <w:style w:type="paragraph" w:styleId="Header">
    <w:name w:val="header"/>
    <w:basedOn w:val="Normal"/>
    <w:link w:val="HeaderChar"/>
    <w:uiPriority w:val="99"/>
    <w:unhideWhenUsed/>
    <w:rsid w:val="00DE3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C16"/>
  </w:style>
  <w:style w:type="paragraph" w:styleId="Footer">
    <w:name w:val="footer"/>
    <w:basedOn w:val="Normal"/>
    <w:link w:val="FooterChar"/>
    <w:uiPriority w:val="99"/>
    <w:unhideWhenUsed/>
    <w:rsid w:val="00DE3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C16"/>
  </w:style>
  <w:style w:type="table" w:styleId="TableGrid">
    <w:name w:val="Table Grid"/>
    <w:basedOn w:val="TableNormal"/>
    <w:uiPriority w:val="39"/>
    <w:rsid w:val="00DE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BS Body,CBS,Body Copy"/>
    <w:link w:val="NoSpacingChar"/>
    <w:uiPriority w:val="1"/>
    <w:rsid w:val="00DE3C16"/>
    <w:pPr>
      <w:spacing w:after="240" w:line="240" w:lineRule="auto"/>
    </w:pPr>
    <w:rPr>
      <w:rFonts w:ascii="Century Gothic" w:hAnsi="Century Gothic"/>
      <w:bCs/>
      <w:color w:val="4B4B4B"/>
      <w:kern w:val="0"/>
      <w:szCs w:val="24"/>
      <w14:ligatures w14:val="none"/>
    </w:rPr>
  </w:style>
  <w:style w:type="character" w:customStyle="1" w:styleId="NoSpacingChar">
    <w:name w:val="No Spacing Char"/>
    <w:aliases w:val="CBS Body Char,CBS Char,Body Copy Char"/>
    <w:basedOn w:val="DefaultParagraphFont"/>
    <w:link w:val="NoSpacing"/>
    <w:uiPriority w:val="1"/>
    <w:rsid w:val="00DE3C16"/>
    <w:rPr>
      <w:rFonts w:ascii="Century Gothic" w:hAnsi="Century Gothic"/>
      <w:bCs/>
      <w:color w:val="4B4B4B"/>
      <w:kern w:val="0"/>
      <w:szCs w:val="24"/>
      <w14:ligatures w14:val="none"/>
    </w:rPr>
  </w:style>
  <w:style w:type="paragraph" w:customStyle="1" w:styleId="Heading1CBSGreen">
    <w:name w:val="Heading 1 CBS Green"/>
    <w:qFormat/>
    <w:rsid w:val="000F4D32"/>
    <w:pPr>
      <w:spacing w:after="0" w:line="240" w:lineRule="auto"/>
      <w:contextualSpacing/>
    </w:pPr>
    <w:rPr>
      <w:rFonts w:asciiTheme="majorHAnsi" w:eastAsiaTheme="majorEastAsia" w:hAnsiTheme="majorHAnsi" w:cstheme="majorBidi"/>
      <w:caps/>
      <w:color w:val="63BD57"/>
      <w:kern w:val="0"/>
      <w:sz w:val="40"/>
      <w:szCs w:val="40"/>
      <w14:ligatures w14:val="none"/>
    </w:rPr>
  </w:style>
  <w:style w:type="paragraph" w:customStyle="1" w:styleId="CBSBoldBlue">
    <w:name w:val="CBS Bold Blue"/>
    <w:basedOn w:val="NoSpacing"/>
    <w:link w:val="CBSBoldBlueChar"/>
    <w:qFormat/>
    <w:rsid w:val="000F4D32"/>
    <w:rPr>
      <w:b/>
      <w:color w:val="1259A7"/>
    </w:rPr>
  </w:style>
  <w:style w:type="character" w:customStyle="1" w:styleId="CBSBoldBlueChar">
    <w:name w:val="CBS Bold Blue Char"/>
    <w:basedOn w:val="NoSpacingChar"/>
    <w:link w:val="CBSBoldBlue"/>
    <w:rsid w:val="000F4D32"/>
    <w:rPr>
      <w:rFonts w:ascii="Century Gothic" w:hAnsi="Century Gothic"/>
      <w:b/>
      <w:bCs/>
      <w:color w:val="1259A7"/>
      <w:kern w:val="0"/>
      <w:szCs w:val="24"/>
      <w14:ligatures w14:val="none"/>
    </w:rPr>
  </w:style>
  <w:style w:type="character" w:customStyle="1" w:styleId="ListParagraphChar">
    <w:name w:val="List Paragraph Char"/>
    <w:basedOn w:val="DefaultParagraphFont"/>
    <w:link w:val="ListParagraph"/>
    <w:uiPriority w:val="34"/>
    <w:rsid w:val="000F4D32"/>
  </w:style>
  <w:style w:type="paragraph" w:customStyle="1" w:styleId="CBSApproachBullet">
    <w:name w:val="CBS Approach Bullet"/>
    <w:basedOn w:val="ListParagraph"/>
    <w:link w:val="CBSApproachBulletChar"/>
    <w:qFormat/>
    <w:rsid w:val="000F4D32"/>
    <w:pPr>
      <w:numPr>
        <w:numId w:val="4"/>
      </w:numPr>
    </w:pPr>
  </w:style>
  <w:style w:type="character" w:customStyle="1" w:styleId="CBSApproachBulletChar">
    <w:name w:val="CBS Approach Bullet Char"/>
    <w:basedOn w:val="ListParagraphChar"/>
    <w:link w:val="CBSApproachBullet"/>
    <w:rsid w:val="000F4D32"/>
    <w:rPr>
      <w:color w:val="4B4B4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Firch</dc:creator>
  <cp:keywords/>
  <dc:description/>
  <cp:lastModifiedBy>Jason Firch</cp:lastModifiedBy>
  <cp:revision>5</cp:revision>
  <dcterms:created xsi:type="dcterms:W3CDTF">2024-04-19T02:32:00Z</dcterms:created>
  <dcterms:modified xsi:type="dcterms:W3CDTF">2024-04-19T03:02:00Z</dcterms:modified>
</cp:coreProperties>
</file>